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BCA23" w14:textId="3001C80E" w:rsidR="00092545" w:rsidRDefault="00092545" w:rsidP="00092545">
      <w:pPr>
        <w:shd w:val="clear" w:color="auto" w:fill="FFFFFF"/>
        <w:spacing w:after="180"/>
        <w:outlineLvl w:val="1"/>
        <w:rPr>
          <w:rFonts w:ascii="Lato" w:eastAsia="Times New Roman" w:hAnsi="Lato" w:cs="Times New Roman"/>
          <w:b/>
          <w:bCs/>
          <w:caps/>
          <w:color w:val="002060"/>
          <w:sz w:val="32"/>
          <w:szCs w:val="32"/>
        </w:rPr>
      </w:pPr>
      <w:r w:rsidRPr="00092545">
        <w:rPr>
          <w:rFonts w:ascii="Lato" w:eastAsia="Times New Roman" w:hAnsi="Lato" w:cs="Times New Roman"/>
          <w:b/>
          <w:bCs/>
          <w:caps/>
          <w:color w:val="002060"/>
          <w:sz w:val="32"/>
          <w:szCs w:val="32"/>
        </w:rPr>
        <w:t>INVESTMENT SERVICES</w:t>
      </w:r>
    </w:p>
    <w:p w14:paraId="3E1150C9" w14:textId="420EB5DB" w:rsidR="00092545" w:rsidRDefault="00B425CE" w:rsidP="00092545">
      <w:pPr>
        <w:pStyle w:val="NormalWeb"/>
        <w:spacing w:before="0" w:beforeAutospacing="0" w:after="0" w:afterAutospacing="0"/>
        <w:rPr>
          <w:rFonts w:ascii="Lato" w:hAnsi="Lato"/>
          <w:color w:val="342B30"/>
          <w:sz w:val="23"/>
          <w:szCs w:val="23"/>
          <w:lang w:val="en"/>
        </w:rPr>
      </w:pPr>
      <w:r>
        <w:rPr>
          <w:rFonts w:ascii="Lato" w:hAnsi="Lato"/>
          <w:color w:val="342B30"/>
          <w:sz w:val="23"/>
          <w:szCs w:val="23"/>
          <w:lang w:val="en"/>
        </w:rPr>
        <w:t>Belmont Savings Bank</w:t>
      </w:r>
      <w:r w:rsidR="004F65B4">
        <w:rPr>
          <w:rFonts w:ascii="Lato" w:hAnsi="Lato"/>
          <w:color w:val="342B30"/>
          <w:sz w:val="23"/>
          <w:szCs w:val="23"/>
          <w:lang w:val="en"/>
        </w:rPr>
        <w:t xml:space="preserve"> (BSB)</w:t>
      </w:r>
      <w:r w:rsidR="00092545">
        <w:rPr>
          <w:rFonts w:ascii="Lato" w:hAnsi="Lato"/>
          <w:color w:val="342B30"/>
          <w:sz w:val="23"/>
          <w:szCs w:val="23"/>
          <w:lang w:val="en"/>
        </w:rPr>
        <w:t xml:space="preserve"> </w:t>
      </w:r>
      <w:r w:rsidR="008D7065">
        <w:rPr>
          <w:rFonts w:ascii="Lato" w:hAnsi="Lato"/>
          <w:color w:val="342B30"/>
          <w:sz w:val="23"/>
          <w:szCs w:val="23"/>
          <w:lang w:val="en"/>
        </w:rPr>
        <w:t>has partnered with Commonwealth</w:t>
      </w:r>
      <w:r w:rsidR="00092545">
        <w:rPr>
          <w:rFonts w:ascii="Lato" w:hAnsi="Lato"/>
          <w:color w:val="342B30"/>
          <w:sz w:val="23"/>
          <w:szCs w:val="23"/>
          <w:lang w:val="en"/>
        </w:rPr>
        <w:t xml:space="preserve"> Financial Services</w:t>
      </w:r>
      <w:r w:rsidR="008D7065">
        <w:rPr>
          <w:rFonts w:ascii="Lato" w:hAnsi="Lato"/>
          <w:color w:val="342B30"/>
          <w:sz w:val="23"/>
          <w:szCs w:val="23"/>
          <w:lang w:val="en"/>
        </w:rPr>
        <w:t xml:space="preserve"> </w:t>
      </w:r>
      <w:r w:rsidR="004F65B4">
        <w:rPr>
          <w:rFonts w:ascii="Lato" w:hAnsi="Lato"/>
          <w:color w:val="342B30"/>
          <w:sz w:val="23"/>
          <w:szCs w:val="23"/>
          <w:lang w:val="en"/>
        </w:rPr>
        <w:t>to offer enhanced financial options</w:t>
      </w:r>
      <w:r w:rsidR="00092545">
        <w:rPr>
          <w:rFonts w:ascii="Lato" w:hAnsi="Lato"/>
          <w:color w:val="342B30"/>
          <w:sz w:val="23"/>
          <w:szCs w:val="23"/>
          <w:lang w:val="en"/>
        </w:rPr>
        <w:t xml:space="preserve"> </w:t>
      </w:r>
      <w:r w:rsidR="008D7065">
        <w:rPr>
          <w:rFonts w:ascii="Lato" w:hAnsi="Lato"/>
          <w:color w:val="342B30"/>
          <w:sz w:val="23"/>
          <w:szCs w:val="23"/>
          <w:lang w:val="en"/>
        </w:rPr>
        <w:t xml:space="preserve">to </w:t>
      </w:r>
      <w:r w:rsidR="004F65B4">
        <w:rPr>
          <w:rFonts w:ascii="Lato" w:hAnsi="Lato"/>
          <w:color w:val="342B30"/>
          <w:sz w:val="23"/>
          <w:szCs w:val="23"/>
          <w:lang w:val="en"/>
        </w:rPr>
        <w:t xml:space="preserve">BSB </w:t>
      </w:r>
      <w:r w:rsidR="00201227">
        <w:rPr>
          <w:rFonts w:ascii="Lato" w:hAnsi="Lato"/>
          <w:color w:val="342B30"/>
          <w:sz w:val="23"/>
          <w:szCs w:val="23"/>
          <w:lang w:val="en"/>
        </w:rPr>
        <w:t>customers</w:t>
      </w:r>
      <w:r w:rsidR="00092545">
        <w:rPr>
          <w:rFonts w:ascii="Lato" w:hAnsi="Lato"/>
          <w:color w:val="342B30"/>
          <w:sz w:val="23"/>
          <w:szCs w:val="23"/>
          <w:lang w:val="en"/>
        </w:rPr>
        <w:t>.</w:t>
      </w:r>
    </w:p>
    <w:p w14:paraId="5CD78B66" w14:textId="5D4DDF9C" w:rsidR="00092545" w:rsidRDefault="00A209A4" w:rsidP="00B425CE">
      <w:pPr>
        <w:pStyle w:val="NormalWeb"/>
        <w:tabs>
          <w:tab w:val="left" w:pos="2505"/>
        </w:tabs>
        <w:rPr>
          <w:rFonts w:ascii="Lato" w:hAnsi="Lato"/>
          <w:color w:val="342B30"/>
          <w:sz w:val="23"/>
          <w:szCs w:val="23"/>
          <w:lang w:val="en"/>
        </w:rPr>
      </w:pPr>
      <w:r>
        <w:rPr>
          <w:rFonts w:ascii="Lato" w:hAnsi="Lato"/>
          <w:noProof/>
          <w:color w:val="342B30"/>
          <w:sz w:val="23"/>
          <w:szCs w:val="23"/>
          <w:lang w:val="en"/>
        </w:rPr>
        <w:drawing>
          <wp:anchor distT="0" distB="0" distL="114300" distR="114300" simplePos="0" relativeHeight="251658240" behindDoc="1" locked="0" layoutInCell="1" allowOverlap="1" wp14:anchorId="429995E4" wp14:editId="6FE2A3A8">
            <wp:simplePos x="0" y="0"/>
            <wp:positionH relativeFrom="margin">
              <wp:posOffset>336499</wp:posOffset>
            </wp:positionH>
            <wp:positionV relativeFrom="paragraph">
              <wp:posOffset>181610</wp:posOffset>
            </wp:positionV>
            <wp:extent cx="2713939" cy="338865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3939" cy="338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5CE">
        <w:rPr>
          <w:rFonts w:ascii="Lato" w:hAnsi="Lato"/>
          <w:color w:val="342B30"/>
          <w:sz w:val="23"/>
          <w:szCs w:val="23"/>
          <w:lang w:val="en"/>
        </w:rPr>
        <w:tab/>
      </w:r>
    </w:p>
    <w:p w14:paraId="6D0DC36C" w14:textId="66E621C2" w:rsidR="00092545" w:rsidRDefault="00092545" w:rsidP="00092545">
      <w:pPr>
        <w:pStyle w:val="NormalWeb"/>
        <w:numPr>
          <w:ilvl w:val="0"/>
          <w:numId w:val="4"/>
        </w:numPr>
        <w:rPr>
          <w:rFonts w:ascii="Lato" w:hAnsi="Lato"/>
          <w:color w:val="342B30"/>
          <w:sz w:val="23"/>
          <w:szCs w:val="23"/>
          <w:lang w:val="en"/>
        </w:rPr>
      </w:pPr>
      <w:r>
        <w:rPr>
          <w:rFonts w:ascii="Lato" w:hAnsi="Lato"/>
          <w:color w:val="342B30"/>
          <w:sz w:val="23"/>
          <w:szCs w:val="23"/>
          <w:lang w:val="en"/>
        </w:rPr>
        <w:t>Financial Planning</w:t>
      </w:r>
    </w:p>
    <w:p w14:paraId="25A9FCF3" w14:textId="39DBA1C7" w:rsidR="00E85801" w:rsidRDefault="00E85801" w:rsidP="00092545">
      <w:pPr>
        <w:pStyle w:val="NormalWeb"/>
        <w:numPr>
          <w:ilvl w:val="0"/>
          <w:numId w:val="4"/>
        </w:numPr>
        <w:rPr>
          <w:rFonts w:ascii="Lato" w:hAnsi="Lato"/>
          <w:color w:val="342B30"/>
          <w:sz w:val="23"/>
          <w:szCs w:val="23"/>
          <w:lang w:val="en"/>
        </w:rPr>
      </w:pPr>
      <w:r>
        <w:rPr>
          <w:rFonts w:ascii="Lato" w:hAnsi="Lato"/>
          <w:color w:val="342B30"/>
          <w:sz w:val="23"/>
          <w:szCs w:val="23"/>
          <w:lang w:val="en"/>
        </w:rPr>
        <w:t xml:space="preserve">Oil and Gas Planning </w:t>
      </w:r>
    </w:p>
    <w:p w14:paraId="4154FD3F" w14:textId="4C992715" w:rsidR="008D7065" w:rsidRDefault="008D7065" w:rsidP="00092545">
      <w:pPr>
        <w:pStyle w:val="NormalWeb"/>
        <w:numPr>
          <w:ilvl w:val="0"/>
          <w:numId w:val="4"/>
        </w:numPr>
        <w:rPr>
          <w:rFonts w:ascii="Lato" w:hAnsi="Lato"/>
          <w:color w:val="342B30"/>
          <w:sz w:val="23"/>
          <w:szCs w:val="23"/>
          <w:lang w:val="en"/>
        </w:rPr>
      </w:pPr>
      <w:r>
        <w:rPr>
          <w:rFonts w:ascii="Lato" w:hAnsi="Lato"/>
          <w:color w:val="342B30"/>
          <w:sz w:val="23"/>
          <w:szCs w:val="23"/>
          <w:lang w:val="en"/>
        </w:rPr>
        <w:t>Risk Management</w:t>
      </w:r>
    </w:p>
    <w:p w14:paraId="6E3DF281" w14:textId="1C92A873" w:rsidR="00092545" w:rsidRDefault="00092545" w:rsidP="00092545">
      <w:pPr>
        <w:pStyle w:val="NormalWeb"/>
        <w:numPr>
          <w:ilvl w:val="0"/>
          <w:numId w:val="4"/>
        </w:numPr>
        <w:rPr>
          <w:rFonts w:ascii="Lato" w:hAnsi="Lato"/>
          <w:color w:val="342B30"/>
          <w:sz w:val="23"/>
          <w:szCs w:val="23"/>
          <w:lang w:val="en"/>
        </w:rPr>
      </w:pPr>
      <w:r>
        <w:rPr>
          <w:rFonts w:ascii="Lato" w:hAnsi="Lato"/>
          <w:color w:val="342B30"/>
          <w:sz w:val="23"/>
          <w:szCs w:val="23"/>
          <w:lang w:val="en"/>
        </w:rPr>
        <w:t>Retirement Preparation</w:t>
      </w:r>
    </w:p>
    <w:p w14:paraId="04B8436C" w14:textId="3CE21420" w:rsidR="00092545" w:rsidRDefault="008D7065" w:rsidP="00092545">
      <w:pPr>
        <w:pStyle w:val="NormalWeb"/>
        <w:numPr>
          <w:ilvl w:val="0"/>
          <w:numId w:val="4"/>
        </w:numPr>
        <w:rPr>
          <w:rFonts w:ascii="Lato" w:hAnsi="Lato"/>
          <w:color w:val="342B30"/>
          <w:sz w:val="23"/>
          <w:szCs w:val="23"/>
          <w:lang w:val="en"/>
        </w:rPr>
      </w:pPr>
      <w:r>
        <w:rPr>
          <w:rFonts w:ascii="Lato" w:hAnsi="Lato"/>
          <w:color w:val="342B30"/>
          <w:sz w:val="23"/>
          <w:szCs w:val="23"/>
          <w:lang w:val="en"/>
        </w:rPr>
        <w:t>Saving for College</w:t>
      </w:r>
    </w:p>
    <w:p w14:paraId="530FC5DF" w14:textId="56877709" w:rsidR="00092545" w:rsidRDefault="00092545" w:rsidP="00092545">
      <w:pPr>
        <w:pStyle w:val="NormalWeb"/>
        <w:numPr>
          <w:ilvl w:val="0"/>
          <w:numId w:val="4"/>
        </w:numPr>
        <w:rPr>
          <w:rFonts w:ascii="Lato" w:hAnsi="Lato"/>
          <w:color w:val="342B30"/>
          <w:sz w:val="23"/>
          <w:szCs w:val="23"/>
          <w:lang w:val="en"/>
        </w:rPr>
      </w:pPr>
      <w:r>
        <w:rPr>
          <w:rFonts w:ascii="Lato" w:hAnsi="Lato"/>
          <w:color w:val="342B30"/>
          <w:sz w:val="23"/>
          <w:szCs w:val="23"/>
          <w:lang w:val="en"/>
        </w:rPr>
        <w:t>Investment Advice</w:t>
      </w:r>
    </w:p>
    <w:p w14:paraId="25EE674B" w14:textId="04597CBD" w:rsidR="00092545" w:rsidRDefault="008D7065" w:rsidP="00092545">
      <w:pPr>
        <w:pStyle w:val="NormalWeb"/>
        <w:numPr>
          <w:ilvl w:val="0"/>
          <w:numId w:val="4"/>
        </w:numPr>
        <w:rPr>
          <w:rFonts w:ascii="Lato" w:hAnsi="Lato"/>
          <w:color w:val="342B30"/>
          <w:sz w:val="23"/>
          <w:szCs w:val="23"/>
          <w:lang w:val="en"/>
        </w:rPr>
      </w:pPr>
      <w:r>
        <w:rPr>
          <w:rFonts w:ascii="Lato" w:hAnsi="Lato"/>
          <w:color w:val="342B30"/>
          <w:sz w:val="23"/>
          <w:szCs w:val="23"/>
          <w:lang w:val="en"/>
        </w:rPr>
        <w:t>Stocks and Bonds</w:t>
      </w:r>
    </w:p>
    <w:p w14:paraId="1E407405" w14:textId="7A538072" w:rsidR="00092545" w:rsidRDefault="008D7065" w:rsidP="00092545">
      <w:pPr>
        <w:pStyle w:val="NormalWeb"/>
        <w:numPr>
          <w:ilvl w:val="0"/>
          <w:numId w:val="4"/>
        </w:numPr>
        <w:rPr>
          <w:rFonts w:ascii="Lato" w:hAnsi="Lato"/>
          <w:color w:val="342B30"/>
          <w:sz w:val="23"/>
          <w:szCs w:val="23"/>
          <w:lang w:val="en"/>
        </w:rPr>
      </w:pPr>
      <w:r>
        <w:rPr>
          <w:rFonts w:ascii="Lato" w:hAnsi="Lato"/>
          <w:color w:val="342B30"/>
          <w:sz w:val="23"/>
          <w:szCs w:val="23"/>
          <w:lang w:val="en"/>
        </w:rPr>
        <w:t>Mutual Funds</w:t>
      </w:r>
    </w:p>
    <w:p w14:paraId="2F689889" w14:textId="76F8D0ED" w:rsidR="008D7065" w:rsidRDefault="008D7065" w:rsidP="00092545">
      <w:pPr>
        <w:pStyle w:val="NormalWeb"/>
        <w:numPr>
          <w:ilvl w:val="0"/>
          <w:numId w:val="4"/>
        </w:numPr>
        <w:rPr>
          <w:rFonts w:ascii="Lato" w:hAnsi="Lato"/>
          <w:color w:val="342B30"/>
          <w:sz w:val="23"/>
          <w:szCs w:val="23"/>
          <w:lang w:val="en"/>
        </w:rPr>
      </w:pPr>
      <w:r>
        <w:rPr>
          <w:rFonts w:ascii="Lato" w:hAnsi="Lato"/>
          <w:color w:val="342B30"/>
          <w:sz w:val="23"/>
          <w:szCs w:val="23"/>
          <w:lang w:val="en"/>
        </w:rPr>
        <w:t>Fixed and Variable Annuities</w:t>
      </w:r>
    </w:p>
    <w:p w14:paraId="1B0401B9" w14:textId="459C69C6" w:rsidR="008D7065" w:rsidRDefault="008D7065" w:rsidP="00092545">
      <w:pPr>
        <w:pStyle w:val="NormalWeb"/>
        <w:numPr>
          <w:ilvl w:val="0"/>
          <w:numId w:val="4"/>
        </w:numPr>
        <w:rPr>
          <w:rFonts w:ascii="Lato" w:hAnsi="Lato"/>
          <w:color w:val="342B30"/>
          <w:sz w:val="23"/>
          <w:szCs w:val="23"/>
          <w:lang w:val="en"/>
        </w:rPr>
      </w:pPr>
      <w:r>
        <w:rPr>
          <w:rFonts w:ascii="Lato" w:hAnsi="Lato"/>
          <w:color w:val="342B30"/>
          <w:sz w:val="23"/>
          <w:szCs w:val="23"/>
          <w:lang w:val="en"/>
        </w:rPr>
        <w:t>Retirement Plans</w:t>
      </w:r>
    </w:p>
    <w:p w14:paraId="5F3F6009" w14:textId="3F8DE762" w:rsidR="008D7065" w:rsidRDefault="008D7065" w:rsidP="00092545">
      <w:pPr>
        <w:pStyle w:val="NormalWeb"/>
        <w:numPr>
          <w:ilvl w:val="0"/>
          <w:numId w:val="4"/>
        </w:numPr>
        <w:rPr>
          <w:rFonts w:ascii="Lato" w:hAnsi="Lato"/>
          <w:color w:val="342B30"/>
          <w:sz w:val="23"/>
          <w:szCs w:val="23"/>
          <w:lang w:val="en"/>
        </w:rPr>
      </w:pPr>
      <w:r>
        <w:rPr>
          <w:rFonts w:ascii="Lato" w:hAnsi="Lato"/>
          <w:color w:val="342B30"/>
          <w:sz w:val="23"/>
          <w:szCs w:val="23"/>
          <w:lang w:val="en"/>
        </w:rPr>
        <w:t>Tax-Advantaged Investments</w:t>
      </w:r>
    </w:p>
    <w:p w14:paraId="489DE990" w14:textId="73DB42ED" w:rsidR="008D7065" w:rsidRDefault="008D7065" w:rsidP="00092545">
      <w:pPr>
        <w:pStyle w:val="NormalWeb"/>
        <w:numPr>
          <w:ilvl w:val="0"/>
          <w:numId w:val="4"/>
        </w:numPr>
        <w:rPr>
          <w:rFonts w:ascii="Lato" w:hAnsi="Lato"/>
          <w:color w:val="342B30"/>
          <w:sz w:val="23"/>
          <w:szCs w:val="23"/>
          <w:lang w:val="en"/>
        </w:rPr>
      </w:pPr>
      <w:r>
        <w:rPr>
          <w:rFonts w:ascii="Lato" w:hAnsi="Lato"/>
          <w:color w:val="342B30"/>
          <w:sz w:val="23"/>
          <w:szCs w:val="23"/>
          <w:lang w:val="en"/>
        </w:rPr>
        <w:t>Professionally Managed Assets</w:t>
      </w:r>
    </w:p>
    <w:p w14:paraId="4BA5B2F6" w14:textId="255EF6D3" w:rsidR="008D7065" w:rsidRDefault="008D7065" w:rsidP="00092545">
      <w:pPr>
        <w:pStyle w:val="NormalWeb"/>
        <w:numPr>
          <w:ilvl w:val="0"/>
          <w:numId w:val="4"/>
        </w:numPr>
        <w:rPr>
          <w:rFonts w:ascii="Lato" w:hAnsi="Lato"/>
          <w:color w:val="342B30"/>
          <w:sz w:val="23"/>
          <w:szCs w:val="23"/>
          <w:lang w:val="en"/>
        </w:rPr>
      </w:pPr>
      <w:r>
        <w:rPr>
          <w:rFonts w:ascii="Lato" w:hAnsi="Lato"/>
          <w:color w:val="342B30"/>
          <w:sz w:val="23"/>
          <w:szCs w:val="23"/>
          <w:lang w:val="en"/>
        </w:rPr>
        <w:t>Life Insurance</w:t>
      </w:r>
    </w:p>
    <w:p w14:paraId="5BD7BB15" w14:textId="356D8B8D" w:rsidR="008D7065" w:rsidRDefault="008D7065" w:rsidP="00092545">
      <w:pPr>
        <w:pStyle w:val="NormalWeb"/>
        <w:numPr>
          <w:ilvl w:val="0"/>
          <w:numId w:val="4"/>
        </w:numPr>
        <w:rPr>
          <w:rFonts w:ascii="Lato" w:hAnsi="Lato"/>
          <w:color w:val="342B30"/>
          <w:sz w:val="23"/>
          <w:szCs w:val="23"/>
          <w:lang w:val="en"/>
        </w:rPr>
      </w:pPr>
      <w:r>
        <w:rPr>
          <w:rFonts w:ascii="Lato" w:hAnsi="Lato"/>
          <w:color w:val="342B30"/>
          <w:sz w:val="23"/>
          <w:szCs w:val="23"/>
          <w:lang w:val="en"/>
        </w:rPr>
        <w:t>Long-Term Care Insurance</w:t>
      </w:r>
    </w:p>
    <w:p w14:paraId="30C7EAFF" w14:textId="008F0EF5" w:rsidR="00D213A9" w:rsidRDefault="00D213A9" w:rsidP="00D213A9">
      <w:pPr>
        <w:pStyle w:val="NormalWeb"/>
        <w:spacing w:before="0" w:beforeAutospacing="0" w:after="0" w:afterAutospacing="0"/>
        <w:ind w:left="6120"/>
        <w:rPr>
          <w:rFonts w:ascii="Lato" w:hAnsi="Lato"/>
          <w:color w:val="342B30"/>
          <w:sz w:val="23"/>
          <w:szCs w:val="23"/>
          <w:lang w:val="en"/>
        </w:rPr>
      </w:pPr>
    </w:p>
    <w:p w14:paraId="7C8D734D" w14:textId="77777777" w:rsidR="00A209A4" w:rsidRDefault="00D213A9" w:rsidP="00D213A9">
      <w:pPr>
        <w:pStyle w:val="NormalWeb"/>
        <w:spacing w:before="0" w:beforeAutospacing="0" w:after="0" w:afterAutospacing="0"/>
        <w:rPr>
          <w:rFonts w:ascii="Lato" w:hAnsi="Lato"/>
          <w:color w:val="342B30"/>
          <w:sz w:val="23"/>
          <w:szCs w:val="23"/>
          <w:lang w:val="en"/>
        </w:rPr>
      </w:pPr>
      <w:r>
        <w:rPr>
          <w:rFonts w:ascii="Lato" w:hAnsi="Lato"/>
          <w:color w:val="342B30"/>
          <w:sz w:val="23"/>
          <w:szCs w:val="23"/>
          <w:lang w:val="en"/>
        </w:rPr>
        <w:t xml:space="preserve">            </w:t>
      </w:r>
    </w:p>
    <w:p w14:paraId="2D702785" w14:textId="4963661A" w:rsidR="00092545" w:rsidRPr="00D213A9" w:rsidRDefault="00A209A4" w:rsidP="00D213A9">
      <w:pPr>
        <w:pStyle w:val="NormalWeb"/>
        <w:spacing w:before="0" w:beforeAutospacing="0" w:after="0" w:afterAutospacing="0"/>
        <w:rPr>
          <w:rFonts w:ascii="Lato" w:hAnsi="Lato"/>
          <w:color w:val="342B30"/>
          <w:sz w:val="23"/>
          <w:szCs w:val="23"/>
          <w:lang w:val="en"/>
        </w:rPr>
      </w:pPr>
      <w:r>
        <w:rPr>
          <w:rFonts w:ascii="Lato" w:hAnsi="Lato"/>
          <w:b/>
          <w:bCs/>
          <w:color w:val="342B30"/>
          <w:sz w:val="23"/>
          <w:szCs w:val="23"/>
          <w:lang w:val="en"/>
        </w:rPr>
        <w:t xml:space="preserve">         Julie </w:t>
      </w:r>
      <w:proofErr w:type="spellStart"/>
      <w:r>
        <w:rPr>
          <w:rFonts w:ascii="Lato" w:hAnsi="Lato"/>
          <w:b/>
          <w:bCs/>
          <w:color w:val="342B30"/>
          <w:sz w:val="23"/>
          <w:szCs w:val="23"/>
          <w:lang w:val="en"/>
        </w:rPr>
        <w:t>Vavra</w:t>
      </w:r>
      <w:proofErr w:type="spellEnd"/>
      <w:r>
        <w:rPr>
          <w:rFonts w:ascii="Lato" w:hAnsi="Lato"/>
          <w:b/>
          <w:bCs/>
          <w:color w:val="342B30"/>
          <w:sz w:val="23"/>
          <w:szCs w:val="23"/>
          <w:lang w:val="en"/>
        </w:rPr>
        <w:t xml:space="preserve"> Daley</w:t>
      </w:r>
      <w:r w:rsidR="00092545" w:rsidRPr="00092545">
        <w:rPr>
          <w:rFonts w:ascii="Lato" w:hAnsi="Lato"/>
          <w:b/>
          <w:bCs/>
          <w:color w:val="342B30"/>
          <w:sz w:val="23"/>
          <w:szCs w:val="23"/>
          <w:lang w:val="en"/>
        </w:rPr>
        <w:t>, Financial Advisor</w:t>
      </w:r>
    </w:p>
    <w:p w14:paraId="4F83BECC" w14:textId="1CED625F" w:rsidR="00092545" w:rsidRDefault="00D213A9" w:rsidP="00092545">
      <w:pPr>
        <w:pStyle w:val="NormalWeb"/>
        <w:spacing w:before="0" w:beforeAutospacing="0" w:after="0" w:afterAutospacing="0"/>
        <w:rPr>
          <w:rFonts w:ascii="Lato" w:hAnsi="Lato"/>
          <w:b/>
          <w:bCs/>
          <w:color w:val="342B30"/>
          <w:sz w:val="23"/>
          <w:szCs w:val="23"/>
          <w:lang w:val="en"/>
        </w:rPr>
      </w:pPr>
      <w:r>
        <w:rPr>
          <w:rFonts w:ascii="Lato" w:hAnsi="Lato"/>
          <w:b/>
          <w:bCs/>
          <w:color w:val="342B30"/>
          <w:sz w:val="23"/>
          <w:szCs w:val="23"/>
          <w:lang w:val="en"/>
        </w:rPr>
        <w:t xml:space="preserve">     </w:t>
      </w:r>
      <w:r w:rsidR="00A209A4">
        <w:rPr>
          <w:rFonts w:ascii="Lato" w:hAnsi="Lato"/>
          <w:b/>
          <w:bCs/>
          <w:color w:val="342B30"/>
          <w:sz w:val="23"/>
          <w:szCs w:val="23"/>
          <w:lang w:val="en"/>
        </w:rPr>
        <w:t xml:space="preserve">  </w:t>
      </w:r>
      <w:r>
        <w:rPr>
          <w:rFonts w:ascii="Lato" w:hAnsi="Lato"/>
          <w:b/>
          <w:bCs/>
          <w:color w:val="342B30"/>
          <w:sz w:val="23"/>
          <w:szCs w:val="23"/>
          <w:lang w:val="en"/>
        </w:rPr>
        <w:t xml:space="preserve">  </w:t>
      </w:r>
      <w:hyperlink r:id="rId8" w:history="1">
        <w:r w:rsidR="00A209A4" w:rsidRPr="00BE6F7F">
          <w:rPr>
            <w:rStyle w:val="Hyperlink"/>
            <w:rFonts w:ascii="Lato" w:hAnsi="Lato"/>
            <w:b/>
            <w:bCs/>
            <w:sz w:val="23"/>
            <w:szCs w:val="23"/>
            <w:lang w:val="en"/>
          </w:rPr>
          <w:t>julie.daley@cfswv.com</w:t>
        </w:r>
      </w:hyperlink>
      <w:r w:rsidR="00092545" w:rsidRPr="00092545">
        <w:rPr>
          <w:rFonts w:ascii="Lato" w:hAnsi="Lato"/>
          <w:b/>
          <w:bCs/>
          <w:color w:val="342B30"/>
          <w:sz w:val="23"/>
          <w:szCs w:val="23"/>
          <w:lang w:val="en"/>
        </w:rPr>
        <w:t xml:space="preserve"> I </w:t>
      </w:r>
      <w:r w:rsidR="00A209A4">
        <w:rPr>
          <w:rFonts w:ascii="Lato" w:hAnsi="Lato"/>
          <w:b/>
          <w:bCs/>
          <w:color w:val="342B30"/>
          <w:sz w:val="23"/>
          <w:szCs w:val="23"/>
          <w:lang w:val="en"/>
        </w:rPr>
        <w:t>740-296-5066</w:t>
      </w:r>
    </w:p>
    <w:p w14:paraId="4E863B06" w14:textId="0E934128" w:rsidR="00A209A4" w:rsidRDefault="00A209A4" w:rsidP="00092545">
      <w:pPr>
        <w:pStyle w:val="NormalWeb"/>
        <w:spacing w:before="0" w:beforeAutospacing="0" w:after="0" w:afterAutospacing="0"/>
        <w:rPr>
          <w:rFonts w:ascii="Lato" w:hAnsi="Lato"/>
          <w:b/>
          <w:bCs/>
          <w:color w:val="342B30"/>
          <w:sz w:val="23"/>
          <w:szCs w:val="23"/>
          <w:lang w:val="en"/>
        </w:rPr>
      </w:pPr>
    </w:p>
    <w:p w14:paraId="0B9F2552" w14:textId="3E85EBB6" w:rsidR="00A209A4" w:rsidRPr="00A209A4" w:rsidRDefault="00A209A4" w:rsidP="00A209A4">
      <w:pPr>
        <w:pStyle w:val="NormalWeb"/>
        <w:rPr>
          <w:rFonts w:ascii="Lato" w:hAnsi="Lato"/>
          <w:color w:val="342B30"/>
          <w:sz w:val="23"/>
          <w:szCs w:val="23"/>
          <w:lang w:val="en"/>
        </w:rPr>
      </w:pPr>
      <w:r w:rsidRPr="00A209A4">
        <w:rPr>
          <w:rFonts w:ascii="Lato" w:hAnsi="Lato"/>
          <w:color w:val="342B30"/>
          <w:sz w:val="23"/>
          <w:szCs w:val="23"/>
          <w:lang w:val="en"/>
        </w:rPr>
        <w:t>With over 15 years of experience in the investment and insurance industries, Julie serves as a financial</w:t>
      </w:r>
      <w:r>
        <w:rPr>
          <w:rFonts w:ascii="Lato" w:hAnsi="Lato"/>
          <w:color w:val="342B30"/>
          <w:sz w:val="23"/>
          <w:szCs w:val="23"/>
          <w:lang w:val="en"/>
        </w:rPr>
        <w:t xml:space="preserve"> </w:t>
      </w:r>
      <w:r w:rsidRPr="00A209A4">
        <w:rPr>
          <w:rFonts w:ascii="Lato" w:hAnsi="Lato"/>
          <w:color w:val="342B30"/>
          <w:sz w:val="23"/>
          <w:szCs w:val="23"/>
          <w:lang w:val="en"/>
        </w:rPr>
        <w:t xml:space="preserve">advisor at Commonwealth Financial Services (CFS). Prior to joining CFS, </w:t>
      </w:r>
      <w:r w:rsidR="004F65B4">
        <w:rPr>
          <w:rFonts w:ascii="Lato" w:hAnsi="Lato"/>
          <w:color w:val="342B30"/>
          <w:sz w:val="23"/>
          <w:szCs w:val="23"/>
          <w:lang w:val="en"/>
        </w:rPr>
        <w:t xml:space="preserve">she </w:t>
      </w:r>
      <w:r w:rsidRPr="00A209A4">
        <w:rPr>
          <w:rFonts w:ascii="Lato" w:hAnsi="Lato"/>
          <w:color w:val="342B30"/>
          <w:sz w:val="23"/>
          <w:szCs w:val="23"/>
          <w:lang w:val="en"/>
        </w:rPr>
        <w:t>managed her own independent financial planning practice in St. Clairsville, Ohio. In 2017, she was recognized as a Retirement Income Certified Professional® (RICP®) by The American College of Financial Services®.</w:t>
      </w:r>
    </w:p>
    <w:p w14:paraId="25DEBE73" w14:textId="10D4B425" w:rsidR="00FE4641" w:rsidRDefault="004F65B4" w:rsidP="00A209A4">
      <w:pPr>
        <w:pStyle w:val="NormalWeb"/>
        <w:rPr>
          <w:rFonts w:ascii="Lato" w:hAnsi="Lato"/>
          <w:color w:val="342B30"/>
          <w:sz w:val="23"/>
          <w:szCs w:val="23"/>
          <w:lang w:val="en"/>
        </w:rPr>
      </w:pPr>
      <w:r>
        <w:rPr>
          <w:rFonts w:ascii="Lato" w:hAnsi="Lato"/>
          <w:color w:val="342B30"/>
          <w:sz w:val="23"/>
          <w:szCs w:val="23"/>
          <w:lang w:val="en"/>
        </w:rPr>
        <w:t xml:space="preserve">She </w:t>
      </w:r>
      <w:r w:rsidR="00A209A4" w:rsidRPr="00A209A4">
        <w:rPr>
          <w:rFonts w:ascii="Lato" w:hAnsi="Lato"/>
          <w:color w:val="342B30"/>
          <w:sz w:val="23"/>
          <w:szCs w:val="23"/>
          <w:lang w:val="en"/>
        </w:rPr>
        <w:t>holds Series 6, 7, 63 and 66 licenses, as well as life, health and disability</w:t>
      </w:r>
      <w:r>
        <w:rPr>
          <w:rFonts w:ascii="Lato" w:hAnsi="Lato"/>
          <w:color w:val="342B30"/>
          <w:sz w:val="23"/>
          <w:szCs w:val="23"/>
          <w:lang w:val="en"/>
        </w:rPr>
        <w:t xml:space="preserve"> insurance</w:t>
      </w:r>
      <w:r w:rsidR="00A209A4" w:rsidRPr="00A209A4">
        <w:rPr>
          <w:rFonts w:ascii="Lato" w:hAnsi="Lato"/>
          <w:color w:val="342B30"/>
          <w:sz w:val="23"/>
          <w:szCs w:val="23"/>
          <w:lang w:val="en"/>
        </w:rPr>
        <w:t xml:space="preserve">. She attended Capital University, where she earned a bachelor’s degree in business management and finance in 2001. Since returning to the Ohio Valley, she has been actively involved in many organizations, including the Ohio Valley Business and Professional Women’s Club, where she served as the local president and vice president of the region. </w:t>
      </w:r>
      <w:r>
        <w:rPr>
          <w:rFonts w:ascii="Lato" w:hAnsi="Lato"/>
          <w:color w:val="342B30"/>
          <w:sz w:val="23"/>
          <w:szCs w:val="23"/>
          <w:lang w:val="en"/>
        </w:rPr>
        <w:t xml:space="preserve">She </w:t>
      </w:r>
      <w:r w:rsidR="00A209A4" w:rsidRPr="00A209A4">
        <w:rPr>
          <w:rFonts w:ascii="Lato" w:hAnsi="Lato"/>
          <w:color w:val="342B30"/>
          <w:sz w:val="23"/>
          <w:szCs w:val="23"/>
          <w:lang w:val="en"/>
        </w:rPr>
        <w:t>is a current board member of the Ohio Valley Oil and Gas Association, as well as chairperson of the Industrial and Technical Education Coalition. She also sits on the Board of Directors for Belco Works/Tomorrow’s Corner.</w:t>
      </w:r>
    </w:p>
    <w:p w14:paraId="72BEE19B" w14:textId="644E2B44" w:rsidR="00092545" w:rsidRDefault="00092545" w:rsidP="004F65B4">
      <w:pPr>
        <w:pStyle w:val="NormalWeb"/>
        <w:jc w:val="center"/>
        <w:rPr>
          <w:rStyle w:val="Hyperlink"/>
          <w:rFonts w:ascii="Lato" w:hAnsi="Lato"/>
          <w:color w:val="auto"/>
          <w:sz w:val="23"/>
          <w:szCs w:val="23"/>
          <w:u w:val="none"/>
          <w:lang w:val="en"/>
        </w:rPr>
      </w:pPr>
      <w:r>
        <w:rPr>
          <w:rFonts w:ascii="Lato" w:hAnsi="Lato"/>
          <w:color w:val="342B30"/>
          <w:sz w:val="23"/>
          <w:szCs w:val="23"/>
          <w:lang w:val="en"/>
        </w:rPr>
        <w:t xml:space="preserve">To learn more about </w:t>
      </w:r>
      <w:r w:rsidR="00A209A4">
        <w:rPr>
          <w:rFonts w:ascii="Lato" w:hAnsi="Lato"/>
          <w:color w:val="342B30"/>
          <w:sz w:val="23"/>
          <w:szCs w:val="23"/>
          <w:lang w:val="en"/>
        </w:rPr>
        <w:t>Julie</w:t>
      </w:r>
      <w:r>
        <w:rPr>
          <w:rFonts w:ascii="Lato" w:hAnsi="Lato"/>
          <w:color w:val="342B30"/>
          <w:sz w:val="23"/>
          <w:szCs w:val="23"/>
          <w:lang w:val="en"/>
        </w:rPr>
        <w:t xml:space="preserve"> and Commonwealth, visit their website </w:t>
      </w:r>
      <w:hyperlink r:id="rId9" w:history="1">
        <w:r w:rsidRPr="00F24603">
          <w:rPr>
            <w:rStyle w:val="Hyperlink"/>
            <w:rFonts w:ascii="Lato" w:hAnsi="Lato"/>
            <w:sz w:val="23"/>
            <w:szCs w:val="23"/>
            <w:lang w:val="en"/>
          </w:rPr>
          <w:t>www.cfswv.com</w:t>
        </w:r>
      </w:hyperlink>
      <w:r>
        <w:rPr>
          <w:rStyle w:val="Hyperlink"/>
          <w:rFonts w:ascii="Lato" w:hAnsi="Lato"/>
          <w:sz w:val="23"/>
          <w:szCs w:val="23"/>
          <w:lang w:val="en"/>
        </w:rPr>
        <w:t xml:space="preserve"> </w:t>
      </w:r>
      <w:r w:rsidRPr="00092545">
        <w:rPr>
          <w:rStyle w:val="Hyperlink"/>
          <w:rFonts w:ascii="Lato" w:hAnsi="Lato"/>
          <w:color w:val="auto"/>
          <w:sz w:val="23"/>
          <w:szCs w:val="23"/>
          <w:u w:val="none"/>
          <w:lang w:val="en"/>
        </w:rPr>
        <w:t xml:space="preserve">or call </w:t>
      </w:r>
      <w:r w:rsidR="00A209A4">
        <w:rPr>
          <w:rStyle w:val="Hyperlink"/>
          <w:rFonts w:ascii="Lato" w:hAnsi="Lato"/>
          <w:color w:val="auto"/>
          <w:sz w:val="23"/>
          <w:szCs w:val="23"/>
          <w:u w:val="none"/>
          <w:lang w:val="en"/>
        </w:rPr>
        <w:t>740-296-5066</w:t>
      </w:r>
      <w:r>
        <w:rPr>
          <w:rStyle w:val="Hyperlink"/>
          <w:rFonts w:ascii="Lato" w:hAnsi="Lato"/>
          <w:color w:val="auto"/>
          <w:sz w:val="23"/>
          <w:szCs w:val="23"/>
          <w:u w:val="none"/>
          <w:lang w:val="en"/>
        </w:rPr>
        <w:t>.</w:t>
      </w:r>
      <w:r w:rsidRPr="00092545">
        <w:rPr>
          <w:rFonts w:ascii="Lato" w:hAnsi="Lato"/>
          <w:noProof/>
          <w:color w:val="342B30"/>
          <w:sz w:val="23"/>
          <w:szCs w:val="23"/>
          <w:lang w:val="en"/>
        </w:rPr>
        <w:t xml:space="preserve"> </w:t>
      </w:r>
      <w:r>
        <w:rPr>
          <w:rFonts w:ascii="Lato" w:hAnsi="Lato"/>
          <w:noProof/>
          <w:color w:val="342B30"/>
          <w:sz w:val="23"/>
          <w:szCs w:val="23"/>
          <w:lang w:val="en"/>
        </w:rPr>
        <w:drawing>
          <wp:inline distT="0" distB="0" distL="0" distR="0" wp14:anchorId="71AC9A10" wp14:editId="4F6B2705">
            <wp:extent cx="2850669" cy="596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logo horizont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3103" cy="636516"/>
                    </a:xfrm>
                    <a:prstGeom prst="rect">
                      <a:avLst/>
                    </a:prstGeom>
                  </pic:spPr>
                </pic:pic>
              </a:graphicData>
            </a:graphic>
          </wp:inline>
        </w:drawing>
      </w:r>
    </w:p>
    <w:p w14:paraId="6A769BC0" w14:textId="61F44318" w:rsidR="00092545" w:rsidRDefault="00092545" w:rsidP="00092545">
      <w:pPr>
        <w:pStyle w:val="NormalWeb"/>
        <w:rPr>
          <w:rFonts w:ascii="Lato" w:hAnsi="Lato"/>
          <w:color w:val="342B30"/>
          <w:sz w:val="23"/>
          <w:szCs w:val="23"/>
          <w:lang w:val="en"/>
        </w:rPr>
      </w:pPr>
      <w:r>
        <w:rPr>
          <w:rFonts w:ascii="Lato" w:hAnsi="Lato"/>
          <w:color w:val="342B30"/>
          <w:sz w:val="23"/>
          <w:szCs w:val="23"/>
          <w:lang w:val="en"/>
        </w:rPr>
        <w:t xml:space="preserve">Check the background of this investment professional on </w:t>
      </w:r>
      <w:hyperlink r:id="rId11" w:history="1">
        <w:r>
          <w:rPr>
            <w:rStyle w:val="Hyperlink"/>
            <w:rFonts w:ascii="Lato" w:hAnsi="Lato"/>
            <w:sz w:val="23"/>
            <w:szCs w:val="23"/>
            <w:lang w:val="en"/>
          </w:rPr>
          <w:t xml:space="preserve">FINRA's </w:t>
        </w:r>
        <w:proofErr w:type="spellStart"/>
        <w:r>
          <w:rPr>
            <w:rStyle w:val="Hyperlink"/>
            <w:rFonts w:ascii="Lato" w:hAnsi="Lato"/>
            <w:sz w:val="23"/>
            <w:szCs w:val="23"/>
            <w:lang w:val="en"/>
          </w:rPr>
          <w:t>BrokerCheck</w:t>
        </w:r>
        <w:proofErr w:type="spellEnd"/>
      </w:hyperlink>
      <w:r>
        <w:rPr>
          <w:rFonts w:ascii="Lato" w:hAnsi="Lato"/>
          <w:color w:val="342B30"/>
          <w:sz w:val="23"/>
          <w:szCs w:val="23"/>
          <w:lang w:val="en"/>
        </w:rPr>
        <w:t>.</w:t>
      </w:r>
    </w:p>
    <w:p w14:paraId="0202BE2F" w14:textId="64C4B851" w:rsidR="00931034" w:rsidRDefault="00092545" w:rsidP="008D7065">
      <w:pPr>
        <w:pStyle w:val="NormalWeb"/>
      </w:pPr>
      <w:r w:rsidRPr="006B4AF5">
        <w:rPr>
          <w:rStyle w:val="Emphasis"/>
          <w:rFonts w:ascii="Lato" w:hAnsi="Lato"/>
          <w:color w:val="342B30"/>
          <w:sz w:val="20"/>
          <w:szCs w:val="20"/>
          <w:lang w:val="en"/>
        </w:rPr>
        <w:t xml:space="preserve">Securities offered through Securities America, Inc. Member FINRA/SIPC, Advisory Services offered through Arbor Point Advisors. Commonwealth Financial Services, Securities America and Arbor Point are separate entities. </w:t>
      </w:r>
      <w:r w:rsidR="00A209A4" w:rsidRPr="00A209A4">
        <w:rPr>
          <w:rStyle w:val="Emphasis"/>
          <w:rFonts w:ascii="Lato" w:hAnsi="Lato"/>
          <w:color w:val="342B30"/>
          <w:sz w:val="20"/>
          <w:szCs w:val="20"/>
          <w:lang w:val="en"/>
        </w:rPr>
        <w:t>Not FDIC Insured • No Bank Guarantees • May Lose Value • Not a Deposit • Not Insured by any Government Agency</w:t>
      </w:r>
    </w:p>
    <w:sectPr w:rsidR="00931034" w:rsidSect="000925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DFFB8" w14:textId="77777777" w:rsidR="000C2934" w:rsidRDefault="000C2934" w:rsidP="00092545">
      <w:r>
        <w:separator/>
      </w:r>
    </w:p>
  </w:endnote>
  <w:endnote w:type="continuationSeparator" w:id="0">
    <w:p w14:paraId="4B33C19C" w14:textId="77777777" w:rsidR="000C2934" w:rsidRDefault="000C2934" w:rsidP="0009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97135" w14:textId="77777777" w:rsidR="000C2934" w:rsidRDefault="000C2934" w:rsidP="00092545">
      <w:r>
        <w:separator/>
      </w:r>
    </w:p>
  </w:footnote>
  <w:footnote w:type="continuationSeparator" w:id="0">
    <w:p w14:paraId="1A80B0AD" w14:textId="77777777" w:rsidR="000C2934" w:rsidRDefault="000C2934" w:rsidP="00092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A4DD5"/>
    <w:multiLevelType w:val="hybridMultilevel"/>
    <w:tmpl w:val="78C0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808C5"/>
    <w:multiLevelType w:val="hybridMultilevel"/>
    <w:tmpl w:val="512E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24816"/>
    <w:multiLevelType w:val="hybridMultilevel"/>
    <w:tmpl w:val="4BAC6848"/>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15:restartNumberingAfterBreak="0">
    <w:nsid w:val="79475AD6"/>
    <w:multiLevelType w:val="hybridMultilevel"/>
    <w:tmpl w:val="495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45"/>
    <w:rsid w:val="00092545"/>
    <w:rsid w:val="000C2934"/>
    <w:rsid w:val="00201227"/>
    <w:rsid w:val="002358E6"/>
    <w:rsid w:val="003E2F29"/>
    <w:rsid w:val="004F65B4"/>
    <w:rsid w:val="007A23AA"/>
    <w:rsid w:val="008D7065"/>
    <w:rsid w:val="00931034"/>
    <w:rsid w:val="00A209A4"/>
    <w:rsid w:val="00B425CE"/>
    <w:rsid w:val="00D213A9"/>
    <w:rsid w:val="00D77C4D"/>
    <w:rsid w:val="00E85801"/>
    <w:rsid w:val="00ED4526"/>
    <w:rsid w:val="00FE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DF65"/>
  <w15:chartTrackingRefBased/>
  <w15:docId w15:val="{E16C174E-B131-4097-A46C-43B7F543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545"/>
    <w:rPr>
      <w:color w:val="0563C1"/>
      <w:u w:val="single"/>
    </w:rPr>
  </w:style>
  <w:style w:type="paragraph" w:styleId="NormalWeb">
    <w:name w:val="Normal (Web)"/>
    <w:basedOn w:val="Normal"/>
    <w:uiPriority w:val="99"/>
    <w:unhideWhenUsed/>
    <w:rsid w:val="00092545"/>
    <w:pPr>
      <w:spacing w:before="100" w:beforeAutospacing="1" w:after="100" w:afterAutospacing="1"/>
    </w:pPr>
  </w:style>
  <w:style w:type="character" w:styleId="Emphasis">
    <w:name w:val="Emphasis"/>
    <w:basedOn w:val="DefaultParagraphFont"/>
    <w:uiPriority w:val="20"/>
    <w:qFormat/>
    <w:rsid w:val="00092545"/>
    <w:rPr>
      <w:i/>
      <w:iCs/>
    </w:rPr>
  </w:style>
  <w:style w:type="paragraph" w:styleId="Header">
    <w:name w:val="header"/>
    <w:basedOn w:val="Normal"/>
    <w:link w:val="HeaderChar"/>
    <w:uiPriority w:val="99"/>
    <w:unhideWhenUsed/>
    <w:rsid w:val="00092545"/>
    <w:pPr>
      <w:tabs>
        <w:tab w:val="center" w:pos="4680"/>
        <w:tab w:val="right" w:pos="9360"/>
      </w:tabs>
    </w:pPr>
  </w:style>
  <w:style w:type="character" w:customStyle="1" w:styleId="HeaderChar">
    <w:name w:val="Header Char"/>
    <w:basedOn w:val="DefaultParagraphFont"/>
    <w:link w:val="Header"/>
    <w:uiPriority w:val="99"/>
    <w:rsid w:val="00092545"/>
    <w:rPr>
      <w:rFonts w:ascii="Calibri" w:hAnsi="Calibri" w:cs="Calibri"/>
    </w:rPr>
  </w:style>
  <w:style w:type="paragraph" w:styleId="Footer">
    <w:name w:val="footer"/>
    <w:basedOn w:val="Normal"/>
    <w:link w:val="FooterChar"/>
    <w:uiPriority w:val="99"/>
    <w:unhideWhenUsed/>
    <w:rsid w:val="00092545"/>
    <w:pPr>
      <w:tabs>
        <w:tab w:val="center" w:pos="4680"/>
        <w:tab w:val="right" w:pos="9360"/>
      </w:tabs>
    </w:pPr>
  </w:style>
  <w:style w:type="character" w:customStyle="1" w:styleId="FooterChar">
    <w:name w:val="Footer Char"/>
    <w:basedOn w:val="DefaultParagraphFont"/>
    <w:link w:val="Footer"/>
    <w:uiPriority w:val="99"/>
    <w:rsid w:val="00092545"/>
    <w:rPr>
      <w:rFonts w:ascii="Calibri" w:hAnsi="Calibri" w:cs="Calibri"/>
    </w:rPr>
  </w:style>
  <w:style w:type="character" w:styleId="UnresolvedMention">
    <w:name w:val="Unresolved Mention"/>
    <w:basedOn w:val="DefaultParagraphFont"/>
    <w:uiPriority w:val="99"/>
    <w:semiHidden/>
    <w:unhideWhenUsed/>
    <w:rsid w:val="00092545"/>
    <w:rPr>
      <w:color w:val="605E5C"/>
      <w:shd w:val="clear" w:color="auto" w:fill="E1DFDD"/>
    </w:rPr>
  </w:style>
  <w:style w:type="table" w:styleId="TableGrid">
    <w:name w:val="Table Grid"/>
    <w:basedOn w:val="TableNormal"/>
    <w:uiPriority w:val="39"/>
    <w:rsid w:val="00092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1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daley@cfswv.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okercheck.finra.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fsw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Shanell Jeffrey</dc:creator>
  <cp:keywords/>
  <dc:description/>
  <cp:lastModifiedBy>Sheri Hess</cp:lastModifiedBy>
  <cp:revision>2</cp:revision>
  <dcterms:created xsi:type="dcterms:W3CDTF">2020-06-09T12:36:00Z</dcterms:created>
  <dcterms:modified xsi:type="dcterms:W3CDTF">2020-06-09T12:36:00Z</dcterms:modified>
</cp:coreProperties>
</file>